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C10" w:rsidRPr="005C2A0F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  <w:r w:rsidRPr="005C2A0F">
        <w:rPr>
          <w:rFonts w:ascii="Bookman Old Style" w:hAnsi="Bookman Old Style"/>
          <w:b/>
          <w:bCs/>
          <w:sz w:val="24"/>
          <w:szCs w:val="24"/>
        </w:rPr>
        <w:t xml:space="preserve"> 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12"/>
      </w:tblGrid>
      <w:tr w:rsidR="001C4C10" w:rsidTr="00F73391">
        <w:tc>
          <w:tcPr>
            <w:tcW w:w="4927" w:type="dxa"/>
          </w:tcPr>
          <w:p w:rsidR="001C4C10" w:rsidRDefault="001C4C10" w:rsidP="00F73391">
            <w:pPr>
              <w:pStyle w:val="a3"/>
              <w:spacing w:after="0" w:line="360" w:lineRule="auto"/>
              <w:ind w:firstLine="720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СОГЛАСОВАНО                                                               </w:t>
            </w:r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Генеральный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ab/>
              <w:t xml:space="preserve"> директор                     </w:t>
            </w:r>
            <w:r w:rsidRPr="0012144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АО «ТЗС»</w:t>
            </w:r>
            <w:r w:rsidRPr="0012144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____________И.А. Лемешко                              </w:t>
            </w:r>
          </w:p>
          <w:p w:rsidR="001C4C10" w:rsidRDefault="001C4C10" w:rsidP="00F73391">
            <w:pPr>
              <w:pStyle w:val="a3"/>
              <w:spacing w:after="0" w:line="360" w:lineRule="auto"/>
              <w:ind w:left="709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«___</w:t>
            </w:r>
            <w:proofErr w:type="gramStart"/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_»   </w:t>
            </w:r>
            <w:proofErr w:type="gramEnd"/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____________20</w:t>
            </w:r>
            <w:r w:rsidRPr="001724F5">
              <w:rPr>
                <w:rFonts w:ascii="Bookman Old Style" w:hAnsi="Bookman Old Style"/>
                <w:b/>
                <w:bCs/>
                <w:sz w:val="24"/>
                <w:szCs w:val="24"/>
              </w:rPr>
              <w:t>20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г.</w:t>
            </w:r>
            <w:r w:rsidRPr="0012144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4927" w:type="dxa"/>
          </w:tcPr>
          <w:p w:rsidR="001C4C10" w:rsidRDefault="001C4C10" w:rsidP="00F73391">
            <w:pPr>
              <w:pStyle w:val="a3"/>
              <w:spacing w:after="0" w:line="360" w:lineRule="auto"/>
              <w:ind w:firstLine="720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УТВЕРЖДАЮ</w:t>
            </w:r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Генеральный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ab/>
              <w:t xml:space="preserve"> директор                     </w:t>
            </w:r>
            <w:r w:rsidRPr="0012144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АО «АТК»</w:t>
            </w:r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______________ К.А. </w:t>
            </w:r>
            <w:proofErr w:type="spellStart"/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Мусатов</w:t>
            </w:r>
            <w:proofErr w:type="spellEnd"/>
          </w:p>
          <w:p w:rsidR="001C4C10" w:rsidRDefault="001C4C10" w:rsidP="00F73391">
            <w:pPr>
              <w:pStyle w:val="a3"/>
              <w:spacing w:after="0" w:line="360" w:lineRule="auto"/>
              <w:ind w:firstLine="720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«___</w:t>
            </w:r>
            <w:proofErr w:type="gramStart"/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_»   </w:t>
            </w:r>
            <w:proofErr w:type="gramEnd"/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>____________20</w:t>
            </w:r>
            <w:r w:rsidRPr="001724F5">
              <w:rPr>
                <w:rFonts w:ascii="Bookman Old Style" w:hAnsi="Bookman Old Style"/>
                <w:b/>
                <w:bCs/>
                <w:sz w:val="24"/>
                <w:szCs w:val="24"/>
              </w:rPr>
              <w:t>20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г.</w:t>
            </w:r>
            <w:r w:rsidRPr="0012144E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                               </w:t>
            </w:r>
          </w:p>
        </w:tc>
      </w:tr>
    </w:tbl>
    <w:p w:rsidR="001C4C10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</w:p>
    <w:p w:rsidR="001C4C10" w:rsidRPr="007E5D85" w:rsidRDefault="001C4C10" w:rsidP="001C4C10">
      <w:pPr>
        <w:pStyle w:val="a3"/>
        <w:spacing w:after="0" w:line="360" w:lineRule="auto"/>
        <w:ind w:firstLine="720"/>
        <w:jc w:val="center"/>
        <w:rPr>
          <w:rFonts w:ascii="Bookman Old Style" w:hAnsi="Bookman Old Style"/>
          <w:bCs/>
          <w:sz w:val="24"/>
          <w:szCs w:val="24"/>
        </w:rPr>
      </w:pPr>
      <w:r w:rsidRPr="007E5D85">
        <w:rPr>
          <w:rFonts w:ascii="Bookman Old Style" w:hAnsi="Bookman Old Style"/>
          <w:bCs/>
          <w:sz w:val="24"/>
          <w:szCs w:val="24"/>
        </w:rPr>
        <w:t>ТЕХНИЧЕСКОЕ ЗАДАНИЕ</w:t>
      </w:r>
    </w:p>
    <w:p w:rsidR="001C4C10" w:rsidRPr="007E5D85" w:rsidRDefault="001C4C10" w:rsidP="001C4C10">
      <w:pPr>
        <w:pStyle w:val="a3"/>
        <w:spacing w:after="0" w:line="360" w:lineRule="auto"/>
        <w:ind w:firstLine="720"/>
        <w:jc w:val="center"/>
        <w:rPr>
          <w:rFonts w:ascii="Bookman Old Style" w:hAnsi="Bookman Old Style"/>
          <w:bCs/>
          <w:sz w:val="24"/>
          <w:szCs w:val="24"/>
        </w:rPr>
      </w:pPr>
      <w:r w:rsidRPr="007E5D85">
        <w:rPr>
          <w:rFonts w:ascii="Bookman Old Style" w:hAnsi="Bookman Old Style"/>
          <w:bCs/>
          <w:sz w:val="24"/>
          <w:szCs w:val="24"/>
        </w:rPr>
        <w:t>ШИФР №______</w:t>
      </w:r>
    </w:p>
    <w:p w:rsidR="001C4C10" w:rsidRPr="008F67A4" w:rsidRDefault="001C4C10" w:rsidP="001C4C10">
      <w:pPr>
        <w:pStyle w:val="a3"/>
        <w:spacing w:after="0" w:line="360" w:lineRule="auto"/>
        <w:ind w:firstLine="720"/>
        <w:jc w:val="center"/>
        <w:rPr>
          <w:rFonts w:ascii="Bookman Old Style" w:hAnsi="Bookman Old Style"/>
          <w:bCs/>
          <w:sz w:val="24"/>
          <w:szCs w:val="24"/>
        </w:rPr>
      </w:pPr>
      <w:r w:rsidRPr="008F67A4">
        <w:rPr>
          <w:rFonts w:ascii="Bookman Old Style" w:hAnsi="Bookman Old Style"/>
          <w:bCs/>
          <w:sz w:val="24"/>
          <w:szCs w:val="24"/>
        </w:rPr>
        <w:t>На поставку автоматического</w:t>
      </w:r>
      <w:r w:rsidRPr="008F67A4">
        <w:t xml:space="preserve"> </w:t>
      </w:r>
      <w:r w:rsidRPr="008F67A4">
        <w:rPr>
          <w:rFonts w:ascii="Bookman Old Style" w:hAnsi="Bookman Old Style"/>
          <w:bCs/>
          <w:sz w:val="24"/>
          <w:szCs w:val="24"/>
        </w:rPr>
        <w:t xml:space="preserve">анализатора </w:t>
      </w:r>
    </w:p>
    <w:p w:rsidR="001C4C10" w:rsidRDefault="001C4C10" w:rsidP="001C4C10">
      <w:pPr>
        <w:pStyle w:val="a3"/>
        <w:spacing w:after="0" w:line="360" w:lineRule="auto"/>
        <w:ind w:firstLine="720"/>
        <w:jc w:val="center"/>
        <w:rPr>
          <w:rFonts w:ascii="Bookman Old Style" w:hAnsi="Bookman Old Style"/>
          <w:bCs/>
          <w:sz w:val="24"/>
          <w:szCs w:val="24"/>
        </w:rPr>
      </w:pPr>
      <w:r w:rsidRPr="008F67A4">
        <w:rPr>
          <w:rFonts w:ascii="Bookman Old Style" w:hAnsi="Bookman Old Style"/>
          <w:bCs/>
          <w:sz w:val="24"/>
          <w:szCs w:val="24"/>
        </w:rPr>
        <w:t>температуры вспышки в открытом тигле</w:t>
      </w:r>
      <w:r>
        <w:rPr>
          <w:rFonts w:ascii="Bookman Old Style" w:hAnsi="Bookman Old Style"/>
          <w:bCs/>
          <w:sz w:val="24"/>
          <w:szCs w:val="24"/>
        </w:rPr>
        <w:t xml:space="preserve"> 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3148"/>
        <w:gridCol w:w="6619"/>
      </w:tblGrid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1.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Заказчик: 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АО «АТК»</w:t>
            </w: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Назначение </w:t>
            </w:r>
          </w:p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оборудования:</w:t>
            </w:r>
          </w:p>
        </w:tc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C10" w:rsidRPr="008F67A4" w:rsidRDefault="001C4C10" w:rsidP="00F73391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 w:val="24"/>
                <w:szCs w:val="24"/>
              </w:rPr>
              <w:t>Определение температуры вспышки в открытом тигле по ГОСТ 4333</w:t>
            </w:r>
            <w:r w:rsidRPr="008F67A4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 xml:space="preserve"> «Нефтепродукты. Методы определения температуры вспышки в открытом тигле» и А</w:t>
            </w:r>
            <w:r w:rsidRPr="008F67A4">
              <w:rPr>
                <w:rFonts w:ascii="Bookman Old Style" w:hAnsi="Bookman Old Style"/>
                <w:bCs/>
                <w:color w:val="000000"/>
                <w:sz w:val="24"/>
                <w:szCs w:val="24"/>
                <w:lang w:val="en-US"/>
              </w:rPr>
              <w:t>S</w:t>
            </w:r>
            <w:r w:rsidRPr="008F67A4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 xml:space="preserve">ТМ </w:t>
            </w:r>
            <w:r w:rsidRPr="008F67A4">
              <w:rPr>
                <w:rFonts w:ascii="Bookman Old Style" w:hAnsi="Bookman Old Style"/>
                <w:bCs/>
                <w:color w:val="000000"/>
                <w:sz w:val="24"/>
                <w:szCs w:val="24"/>
                <w:lang w:val="en-US"/>
              </w:rPr>
              <w:t>D</w:t>
            </w:r>
            <w:r w:rsidRPr="008F67A4">
              <w:rPr>
                <w:rFonts w:ascii="Bookman Old Style" w:hAnsi="Bookman Old Style"/>
                <w:bCs/>
                <w:color w:val="000000"/>
                <w:sz w:val="24"/>
                <w:szCs w:val="24"/>
              </w:rPr>
              <w:t xml:space="preserve"> 92 «Стандартный метод определения температуры вспышки и воспламенения в открытом тигле Кливленда».</w:t>
            </w:r>
          </w:p>
          <w:p w:rsidR="001C4C10" w:rsidRPr="008F67A4" w:rsidRDefault="001C4C10" w:rsidP="00F73391">
            <w:pPr>
              <w:pStyle w:val="a9"/>
              <w:autoSpaceDE w:val="0"/>
              <w:autoSpaceDN w:val="0"/>
              <w:adjustRightInd w:val="0"/>
              <w:ind w:left="0" w:firstLine="272"/>
              <w:rPr>
                <w:rFonts w:ascii="Bookman Old Style" w:hAnsi="Bookman Old Style"/>
                <w:color w:val="000000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Cs w:val="24"/>
              </w:rPr>
              <w:t>Наименования продуктов</w:t>
            </w:r>
            <w:r w:rsidRPr="008F67A4">
              <w:t xml:space="preserve"> 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>с указанием стандарта, которые предполагаются испытывать:</w:t>
            </w:r>
          </w:p>
          <w:p w:rsidR="001C4C10" w:rsidRPr="008F67A4" w:rsidRDefault="001C4C10" w:rsidP="001C4C10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color w:val="000000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ЛЗ-240, </w:t>
            </w:r>
            <w:proofErr w:type="spellStart"/>
            <w:r w:rsidRPr="008F67A4">
              <w:rPr>
                <w:rFonts w:ascii="Bookman Old Style" w:hAnsi="Bookman Old Style"/>
                <w:color w:val="000000"/>
                <w:szCs w:val="24"/>
              </w:rPr>
              <w:t>изг</w:t>
            </w:r>
            <w:proofErr w:type="spellEnd"/>
            <w:r w:rsidRPr="008F67A4">
              <w:rPr>
                <w:rFonts w:ascii="Bookman Old Style" w:hAnsi="Bookman Old Style"/>
                <w:color w:val="000000"/>
                <w:szCs w:val="24"/>
              </w:rPr>
              <w:t>. по ТУ 0253-001-93407622-2007, ТУ 301-04-010-92;</w:t>
            </w:r>
          </w:p>
          <w:p w:rsidR="001C4C10" w:rsidRPr="008F67A4" w:rsidRDefault="001C4C10" w:rsidP="001C4C10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color w:val="000000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TN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-400, </w:t>
            </w:r>
            <w:proofErr w:type="spellStart"/>
            <w:r w:rsidRPr="008F67A4">
              <w:rPr>
                <w:rFonts w:ascii="Bookman Old Style" w:hAnsi="Bookman Old Style"/>
                <w:color w:val="000000"/>
                <w:szCs w:val="24"/>
              </w:rPr>
              <w:t>изг</w:t>
            </w:r>
            <w:proofErr w:type="spellEnd"/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. по спецификации </w:t>
            </w: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MIL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>-</w:t>
            </w: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PRF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>-7808;</w:t>
            </w:r>
          </w:p>
          <w:p w:rsidR="001C4C10" w:rsidRPr="008F67A4" w:rsidRDefault="001C4C10" w:rsidP="001C4C10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color w:val="000000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Cs w:val="24"/>
              </w:rPr>
              <w:t>АМГ-10 (</w:t>
            </w: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FH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-51), </w:t>
            </w:r>
            <w:proofErr w:type="spellStart"/>
            <w:r w:rsidRPr="008F67A4">
              <w:rPr>
                <w:rFonts w:ascii="Bookman Old Style" w:hAnsi="Bookman Old Style"/>
                <w:color w:val="000000"/>
                <w:szCs w:val="24"/>
              </w:rPr>
              <w:t>изг</w:t>
            </w:r>
            <w:proofErr w:type="spellEnd"/>
            <w:r w:rsidRPr="008F67A4">
              <w:rPr>
                <w:rFonts w:ascii="Bookman Old Style" w:hAnsi="Bookman Old Style"/>
                <w:color w:val="000000"/>
                <w:szCs w:val="24"/>
              </w:rPr>
              <w:t>. по ГОСТ 6794-75;</w:t>
            </w:r>
          </w:p>
          <w:p w:rsidR="001C4C10" w:rsidRPr="008F67A4" w:rsidRDefault="001C4C10" w:rsidP="001C4C10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color w:val="000000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Cs w:val="24"/>
              </w:rPr>
              <w:t>НГЖ-5У (</w:t>
            </w:r>
            <w:proofErr w:type="spellStart"/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HyJet</w:t>
            </w:r>
            <w:proofErr w:type="spellEnd"/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 </w:t>
            </w: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IV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>-</w:t>
            </w: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A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 </w:t>
            </w:r>
            <w:r w:rsidRPr="008F67A4">
              <w:rPr>
                <w:rFonts w:ascii="Bookman Old Style" w:hAnsi="Bookman Old Style"/>
                <w:color w:val="000000"/>
                <w:szCs w:val="24"/>
                <w:lang w:val="en-US"/>
              </w:rPr>
              <w:t>plus</w:t>
            </w:r>
            <w:r w:rsidRPr="008F67A4">
              <w:rPr>
                <w:rFonts w:ascii="Bookman Old Style" w:hAnsi="Bookman Old Style"/>
                <w:color w:val="000000"/>
                <w:szCs w:val="24"/>
              </w:rPr>
              <w:t xml:space="preserve">), </w:t>
            </w:r>
            <w:proofErr w:type="spellStart"/>
            <w:r w:rsidRPr="008F67A4">
              <w:rPr>
                <w:rFonts w:ascii="Bookman Old Style" w:hAnsi="Bookman Old Style"/>
                <w:color w:val="000000"/>
                <w:szCs w:val="24"/>
              </w:rPr>
              <w:t>изг</w:t>
            </w:r>
            <w:proofErr w:type="spellEnd"/>
            <w:r w:rsidRPr="008F67A4">
              <w:rPr>
                <w:rFonts w:ascii="Bookman Old Style" w:hAnsi="Bookman Old Style"/>
                <w:color w:val="000000"/>
                <w:szCs w:val="24"/>
              </w:rPr>
              <w:t>. по ТУ 38.401-58-57-93</w:t>
            </w:r>
          </w:p>
          <w:p w:rsidR="001C4C10" w:rsidRPr="008F67A4" w:rsidRDefault="001C4C10" w:rsidP="001C4C10">
            <w:pPr>
              <w:pStyle w:val="a9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  <w:color w:val="000000"/>
                <w:szCs w:val="24"/>
              </w:rPr>
            </w:pPr>
            <w:r w:rsidRPr="008F67A4">
              <w:rPr>
                <w:rFonts w:ascii="Bookman Old Style" w:hAnsi="Bookman Old Style"/>
                <w:color w:val="000000"/>
                <w:szCs w:val="24"/>
              </w:rPr>
              <w:t>МС-20 ГОСТ 21743-76.</w:t>
            </w:r>
          </w:p>
        </w:tc>
      </w:tr>
      <w:tr w:rsidR="001C4C10" w:rsidRPr="008F67A4" w:rsidTr="00F73391">
        <w:trPr>
          <w:trHeight w:val="5519"/>
        </w:trPr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3.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Технические характеристики 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Автоматический анализатор температуры вспышки в открытом тигле, обеспечивающий определение температуры вспышки в диапазоне от 79 до 360°C и имеющий: 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нагреватель;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датчик температуры;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детектор вспышки;</w:t>
            </w:r>
          </w:p>
          <w:p w:rsidR="001C4C10" w:rsidRPr="008F67A4" w:rsidRDefault="001C4C10" w:rsidP="00F73391">
            <w:pPr>
              <w:tabs>
                <w:tab w:val="left" w:pos="274"/>
                <w:tab w:val="left" w:pos="416"/>
              </w:tabs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возможность регулирования скорости нагрева образца от (5 – 6) °C в минуту до (14 – 17) °C в минуту;</w:t>
            </w:r>
          </w:p>
          <w:p w:rsidR="001C4C10" w:rsidRPr="008F67A4" w:rsidRDefault="001C4C10" w:rsidP="00F73391">
            <w:pPr>
              <w:tabs>
                <w:tab w:val="left" w:pos="274"/>
                <w:tab w:val="left" w:pos="416"/>
              </w:tabs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-газовый и электрический </w:t>
            </w:r>
            <w:proofErr w:type="spellStart"/>
            <w:r w:rsidRPr="008F67A4">
              <w:rPr>
                <w:rFonts w:ascii="Bookman Old Style" w:hAnsi="Bookman Old Style"/>
                <w:sz w:val="24"/>
                <w:szCs w:val="24"/>
              </w:rPr>
              <w:t>поджиг</w:t>
            </w:r>
            <w:proofErr w:type="spellEnd"/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 (взаимозаменяемые);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автоматическую коррекцию на атмосферное давление с использованием встроенного барометрического датчика;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дисплей отображения данных;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принудительное охлаждение сжатым воздухом после анализа;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систему аварийного отключения;</w:t>
            </w:r>
          </w:p>
          <w:p w:rsidR="001C4C10" w:rsidRPr="008F67A4" w:rsidRDefault="001C4C10" w:rsidP="001C4C10">
            <w:pPr>
              <w:pStyle w:val="a9"/>
              <w:numPr>
                <w:ilvl w:val="0"/>
                <w:numId w:val="1"/>
              </w:numPr>
              <w:ind w:left="42" w:firstLine="27"/>
              <w:jc w:val="both"/>
              <w:rPr>
                <w:szCs w:val="24"/>
              </w:rPr>
            </w:pPr>
            <w:r w:rsidRPr="008F67A4">
              <w:rPr>
                <w:rFonts w:ascii="Bookman Old Style" w:hAnsi="Bookman Old Style"/>
                <w:szCs w:val="24"/>
              </w:rPr>
              <w:t>возможность передачи данных в ЛИМС.</w:t>
            </w: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4.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Автоматический анализатор температуры вспышки в открытом тигле – 1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Тигель в сборе – 2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lastRenderedPageBreak/>
              <w:t xml:space="preserve"> Запасной электрический воспламенитель – 2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Запасной нагревательный элемент – 2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Запасной датчик температуры – 2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Запасной датчик вспышки – 2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Запасной датчик пламени – 2 шт.</w:t>
            </w:r>
          </w:p>
          <w:p w:rsidR="001C4C10" w:rsidRPr="008F67A4" w:rsidRDefault="001C4C10" w:rsidP="001C4C10">
            <w:pPr>
              <w:pStyle w:val="aa"/>
              <w:numPr>
                <w:ilvl w:val="0"/>
                <w:numId w:val="2"/>
              </w:numPr>
              <w:tabs>
                <w:tab w:val="left" w:pos="7220"/>
              </w:tabs>
              <w:jc w:val="both"/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</w:pPr>
            <w:r w:rsidRPr="008F67A4">
              <w:rPr>
                <w:rFonts w:ascii="Bookman Old Style" w:eastAsia="Times New Roman" w:hAnsi="Bookman Old Style"/>
                <w:sz w:val="24"/>
                <w:szCs w:val="24"/>
                <w:lang w:val="ru-RU" w:eastAsia="en-US"/>
              </w:rPr>
              <w:t>Щетка металлическая – 1 шт.</w:t>
            </w:r>
          </w:p>
          <w:p w:rsidR="001C4C10" w:rsidRPr="008F67A4" w:rsidRDefault="001C4C10" w:rsidP="001C4C1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Bookman Old Style" w:hAnsi="Bookman Old Style"/>
                <w:bCs/>
                <w:color w:val="FF0000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</w:rPr>
              <w:t xml:space="preserve">Комплект стандартных образцов </w:t>
            </w:r>
            <w:r w:rsidRPr="008F67A4">
              <w:rPr>
                <w:rFonts w:ascii="Bookman Old Style" w:hAnsi="Bookman Old Style"/>
                <w:sz w:val="24"/>
                <w:szCs w:val="24"/>
                <w:lang w:eastAsia="en-US"/>
              </w:rPr>
              <w:t xml:space="preserve">в количестве, необходимом </w:t>
            </w:r>
            <w:r w:rsidRPr="008F67A4">
              <w:rPr>
                <w:rFonts w:ascii="Bookman Old Style" w:hAnsi="Bookman Old Style"/>
                <w:sz w:val="24"/>
              </w:rPr>
              <w:t xml:space="preserve">для </w:t>
            </w:r>
            <w:r w:rsidRPr="008F67A4">
              <w:rPr>
                <w:rFonts w:ascii="Bookman Old Style" w:hAnsi="Bookman Old Style"/>
                <w:sz w:val="24"/>
                <w:szCs w:val="24"/>
                <w:lang w:eastAsia="en-US"/>
              </w:rPr>
              <w:t xml:space="preserve">проведения пусконаладочных работ и </w:t>
            </w:r>
            <w:r w:rsidRPr="008F67A4">
              <w:rPr>
                <w:rFonts w:ascii="Bookman Old Style" w:hAnsi="Bookman Old Style"/>
                <w:sz w:val="24"/>
              </w:rPr>
              <w:t>первичной аттестации.</w:t>
            </w: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Требования</w:t>
            </w:r>
          </w:p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к технической документации:</w:t>
            </w:r>
          </w:p>
          <w:p w:rsidR="001C4C10" w:rsidRPr="008F67A4" w:rsidRDefault="001C4C10" w:rsidP="00F73391">
            <w:pPr>
              <w:pStyle w:val="a3"/>
              <w:spacing w:after="0" w:line="240" w:lineRule="auto"/>
              <w:jc w:val="left"/>
              <w:rPr>
                <w:rFonts w:ascii="Bookman Old Style" w:hAnsi="Bookman Old Style"/>
                <w:b/>
                <w:spacing w:val="0"/>
                <w:sz w:val="24"/>
                <w:szCs w:val="24"/>
              </w:rPr>
            </w:pPr>
          </w:p>
        </w:tc>
        <w:tc>
          <w:tcPr>
            <w:tcW w:w="6619" w:type="dxa"/>
            <w:shd w:val="clear" w:color="auto" w:fill="auto"/>
          </w:tcPr>
          <w:tbl>
            <w:tblPr>
              <w:tblW w:w="6120" w:type="dxa"/>
              <w:tblLook w:val="04A0" w:firstRow="1" w:lastRow="0" w:firstColumn="1" w:lastColumn="0" w:noHBand="0" w:noVBand="1"/>
            </w:tblPr>
            <w:tblGrid>
              <w:gridCol w:w="6120"/>
            </w:tblGrid>
            <w:tr w:rsidR="001C4C10" w:rsidRPr="008F67A4" w:rsidTr="00F73391">
              <w:trPr>
                <w:trHeight w:val="270"/>
              </w:trPr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Комплект технической документации:</w:t>
                  </w:r>
                </w:p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- паспорт;</w:t>
                  </w:r>
                </w:p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- руководство по эксплуатации и техническому обслуживанию;</w:t>
                  </w:r>
                </w:p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- руководство пользователя ПО;</w:t>
                  </w:r>
                </w:p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- документация на программное обеспечение.</w:t>
                  </w:r>
                </w:p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Эксплуатационная, техническая документация на русском языке (аутентичный перевод), а также оригинал на языке производителя.</w:t>
                  </w:r>
                </w:p>
                <w:p w:rsidR="001C4C10" w:rsidRPr="008F67A4" w:rsidRDefault="001C4C10" w:rsidP="00F73391">
                  <w:pPr>
                    <w:jc w:val="both"/>
                    <w:rPr>
                      <w:rFonts w:ascii="Bookman Old Style" w:hAnsi="Bookman Old Style"/>
                      <w:color w:val="FF0000"/>
                      <w:sz w:val="24"/>
                      <w:szCs w:val="24"/>
                    </w:rPr>
                  </w:pPr>
                  <w:r w:rsidRPr="008F67A4">
                    <w:rPr>
                      <w:rFonts w:ascii="Bookman Old Style" w:hAnsi="Bookman Old Style"/>
                      <w:sz w:val="24"/>
                      <w:szCs w:val="24"/>
                    </w:rPr>
                    <w:t>Документация должна быть предоставлена на этапе подачи технического предложения.</w:t>
                  </w:r>
                </w:p>
              </w:tc>
            </w:tr>
          </w:tbl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Cs/>
                <w:sz w:val="24"/>
                <w:szCs w:val="24"/>
              </w:rPr>
            </w:pP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6.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Требования </w:t>
            </w:r>
          </w:p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безопасности: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Оборудование не должно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 должно превышать гигиенических нормативов, установленных законодательством РФ в области промышленной безопасности и охраны труда.</w:t>
            </w: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7.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Требования </w:t>
            </w:r>
          </w:p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к сервису, </w:t>
            </w:r>
          </w:p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sz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гарантии: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Гарантийный срок эксплуатации – не менее 24 месяцев с даты ввода в эксплуатацию. 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Год выпуска оборудования и материалов, поставляемых к оборудованию должен быть не ранее предшествующего/текущего года.                                   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Документальное подтверждение изготовителем оборудования полномочий поставщика на осуществление поставки, пусконаладочных работ, сервисного, технического, гарантийного и послегарантийного обслуживания оборудования (договор или письмо от изготовителя).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Пусконаладочные работы, постановка метода.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Опробование поставленного метода на реальных образцах Заказчика.</w:t>
            </w: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8.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sz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Метрологическое обеспечение: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Испытательное оборудование при поставке должно сопровождаться: программой и методикой первичной и периодической аттестации, утвержденной в установленном порядке в соответствии с требованиями законодательства РФ в области обеспечения единства измерений. Поставщик после инсталляции оборудования должен провести его первичную аттестацию в соответствии с требованиями ГОСТ Р 8.568 с оформлением протокола первичной аттестации и аттестата. 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Программа и Методика первичной и периодической аттестации должны соответствовать требованиям </w:t>
            </w:r>
            <w:r w:rsidRPr="008F67A4">
              <w:rPr>
                <w:rFonts w:ascii="Bookman Old Style" w:hAnsi="Bookman Old Style"/>
                <w:sz w:val="24"/>
                <w:szCs w:val="24"/>
              </w:rPr>
              <w:lastRenderedPageBreak/>
              <w:t>ГОСТ Р 8.568 и представлены на этапе подачи технического предложения.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Тип средств измерений, входящих в комплект поставки, должен быть утверждён в установленном порядке в соответствии с требованиями законодательства РФ в области обеспечения единства измерений и внесён в Федеральный информационный фонд по обеспечению единства измерений и иметь знак утверждения СИ.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Средства измерений при поставке сопровождаются следующей документацией: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свидетельством/сертификатом об утверждении типа средства измерений;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описанием типа средства измерений (приложение к свидетельству/сертификату);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методикой поверки средства измерений данного типа;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- свидетельством о первичной поверке (оформляется в порядке, установленном Приказом </w:t>
            </w:r>
            <w:proofErr w:type="spellStart"/>
            <w:r w:rsidRPr="008F67A4">
              <w:rPr>
                <w:rFonts w:ascii="Bookman Old Style" w:hAnsi="Bookman Old Style"/>
                <w:sz w:val="24"/>
                <w:szCs w:val="24"/>
              </w:rPr>
              <w:t>Минпромторга</w:t>
            </w:r>
            <w:proofErr w:type="spellEnd"/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 № 1815 от 02.07.2015, и в соответствии с методикой поверки);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выпиской из Федерального информационного фонда по обеспечению единства измерений, содержащей сведения о результатах поверки.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Срок до окончания действия свидетельства о поверке средства измерений на дату поставки должен быть не менее 2/3 </w:t>
            </w:r>
            <w:proofErr w:type="spellStart"/>
            <w:r w:rsidRPr="008F67A4">
              <w:rPr>
                <w:rFonts w:ascii="Bookman Old Style" w:hAnsi="Bookman Old Style"/>
                <w:sz w:val="24"/>
                <w:szCs w:val="24"/>
              </w:rPr>
              <w:t>межповерочного</w:t>
            </w:r>
            <w:proofErr w:type="spellEnd"/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 интервала.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Свидетельство/сертификат об утверждении типа средства измерений, описание типа средства измерений (приложение к свидетельству/сертификату), методика поверки средства</w:t>
            </w:r>
            <w:r w:rsidRPr="008F67A4">
              <w:t xml:space="preserve"> </w:t>
            </w:r>
            <w:r w:rsidRPr="008F67A4">
              <w:rPr>
                <w:rFonts w:ascii="Bookman Old Style" w:hAnsi="Bookman Old Style"/>
                <w:sz w:val="24"/>
                <w:szCs w:val="24"/>
              </w:rPr>
              <w:t>измерений должны быть предоставлены на этапе подачи технического предложения.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 xml:space="preserve">Тип стандартных образцов, используемых при процедурах поверки, должен быть утвержден в установленном порядке в соответствии с требованиями законодательства РФ в области обеспечения единства измерений и внесен в Федеральный информационный фонд по обеспечению единства измерений. 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Стандартные образцы должны иметь следующую документацию: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паспорт стандартного образца;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свидетельство об утверждении типа стандартного образца;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- инструкцию по применению стандартного образца.</w:t>
            </w:r>
          </w:p>
          <w:p w:rsidR="001C4C10" w:rsidRPr="008F67A4" w:rsidRDefault="001C4C10" w:rsidP="00F73391">
            <w:pPr>
              <w:jc w:val="both"/>
              <w:rPr>
                <w:rFonts w:ascii="Bookman Old Style" w:hAnsi="Bookman Old Style"/>
                <w:sz w:val="24"/>
              </w:rPr>
            </w:pPr>
            <w:r w:rsidRPr="008F67A4">
              <w:rPr>
                <w:rFonts w:ascii="Bookman Old Style" w:hAnsi="Bookman Old Style"/>
                <w:sz w:val="24"/>
                <w:szCs w:val="24"/>
              </w:rPr>
              <w:t>Срок годности стандартного образца на дату поставки должен быть не менее половины от установленного для стандартного образца данного типа.</w:t>
            </w:r>
          </w:p>
        </w:tc>
      </w:tr>
      <w:tr w:rsidR="001C4C10" w:rsidRPr="008F67A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61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240" w:lineRule="auto"/>
              <w:jc w:val="left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Товар должен быть новым, оригинальным.</w:t>
            </w:r>
          </w:p>
          <w:p w:rsidR="001C4C10" w:rsidRPr="008F67A4" w:rsidRDefault="003F7E07" w:rsidP="003F7E07">
            <w:pPr>
              <w:pStyle w:val="a3"/>
              <w:spacing w:after="0" w:line="240" w:lineRule="auto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3F7E07">
              <w:rPr>
                <w:rFonts w:ascii="Bookman Old Style" w:hAnsi="Bookman Old Style"/>
                <w:bCs/>
                <w:sz w:val="24"/>
                <w:szCs w:val="24"/>
              </w:rPr>
              <w:t>Срок поставки – 120 дней с момента подписания договора.</w:t>
            </w:r>
            <w:bookmarkStart w:id="0" w:name="_GoBack"/>
            <w:bookmarkEnd w:id="0"/>
          </w:p>
        </w:tc>
      </w:tr>
      <w:tr w:rsidR="001C4C10" w:rsidRPr="007558B4" w:rsidTr="00F73391">
        <w:tc>
          <w:tcPr>
            <w:tcW w:w="689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48" w:type="dxa"/>
            <w:shd w:val="clear" w:color="auto" w:fill="auto"/>
          </w:tcPr>
          <w:p w:rsidR="001C4C10" w:rsidRPr="008F67A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/>
                <w:bCs/>
                <w:sz w:val="24"/>
                <w:szCs w:val="24"/>
              </w:rPr>
              <w:t>Адрес доставки</w:t>
            </w:r>
          </w:p>
        </w:tc>
        <w:tc>
          <w:tcPr>
            <w:tcW w:w="6619" w:type="dxa"/>
            <w:shd w:val="clear" w:color="auto" w:fill="auto"/>
          </w:tcPr>
          <w:p w:rsidR="001C4C10" w:rsidRPr="007558B4" w:rsidRDefault="001C4C10" w:rsidP="00F73391">
            <w:pPr>
              <w:pStyle w:val="a3"/>
              <w:spacing w:after="0" w:line="360" w:lineRule="auto"/>
              <w:jc w:val="left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F67A4">
              <w:rPr>
                <w:rFonts w:ascii="Bookman Old Style" w:hAnsi="Bookman Old Style"/>
                <w:bCs/>
                <w:sz w:val="24"/>
                <w:szCs w:val="24"/>
              </w:rPr>
              <w:t>Склад грузополучателя: г. Москва, Заводское ш., д 2</w:t>
            </w:r>
          </w:p>
        </w:tc>
      </w:tr>
    </w:tbl>
    <w:p w:rsidR="001C4C10" w:rsidRDefault="001C4C10" w:rsidP="001C4C10">
      <w:pPr>
        <w:pStyle w:val="a3"/>
        <w:spacing w:after="0" w:line="360" w:lineRule="auto"/>
        <w:ind w:firstLine="720"/>
        <w:jc w:val="center"/>
        <w:rPr>
          <w:rFonts w:ascii="Bookman Old Style" w:hAnsi="Bookman Old Style"/>
          <w:bCs/>
          <w:sz w:val="24"/>
          <w:szCs w:val="24"/>
        </w:rPr>
      </w:pPr>
    </w:p>
    <w:p w:rsidR="001C4C10" w:rsidRDefault="001C4C10" w:rsidP="001C4C10">
      <w:pPr>
        <w:pStyle w:val="a3"/>
        <w:spacing w:after="0" w:line="360" w:lineRule="auto"/>
        <w:ind w:firstLine="720"/>
        <w:rPr>
          <w:rFonts w:ascii="Bookman Old Style" w:hAnsi="Bookman Old Style"/>
          <w:b/>
          <w:bCs/>
          <w:sz w:val="24"/>
          <w:szCs w:val="24"/>
        </w:rPr>
      </w:pPr>
    </w:p>
    <w:p w:rsidR="001C4C10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Главный инженер</w:t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  <w:t>И.В. Яшкин</w:t>
      </w:r>
    </w:p>
    <w:p w:rsidR="001C4C10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</w:p>
    <w:p w:rsidR="001C4C10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Начальник отдела экономической безопасности</w:t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  <w:t>Ю.Б. Клинков</w:t>
      </w:r>
    </w:p>
    <w:p w:rsidR="001C4C10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</w:p>
    <w:p w:rsidR="001C4C10" w:rsidRPr="001D23B3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  <w:r w:rsidRPr="001D23B3">
        <w:rPr>
          <w:rFonts w:ascii="Bookman Old Style" w:hAnsi="Bookman Old Style"/>
          <w:b/>
          <w:bCs/>
          <w:sz w:val="24"/>
          <w:szCs w:val="24"/>
        </w:rPr>
        <w:t>Начальник лаборатории ГСМ</w:t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 w:rsidRPr="001D23B3">
        <w:rPr>
          <w:rFonts w:ascii="Bookman Old Style" w:hAnsi="Bookman Old Style"/>
          <w:b/>
          <w:bCs/>
          <w:sz w:val="24"/>
          <w:szCs w:val="24"/>
        </w:rPr>
        <w:t xml:space="preserve">Л.В. Толстова </w:t>
      </w:r>
    </w:p>
    <w:p w:rsidR="001C4C10" w:rsidRDefault="001C4C10" w:rsidP="001C4C10">
      <w:pPr>
        <w:pStyle w:val="a3"/>
        <w:spacing w:after="0" w:line="36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1C4C10" w:rsidRPr="001D23B3" w:rsidRDefault="001C4C10" w:rsidP="001C4C10">
      <w:pPr>
        <w:pStyle w:val="a3"/>
        <w:spacing w:after="0" w:line="360" w:lineRule="auto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Начальник отдела метрологии АО «ТЗС»</w:t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</w:r>
      <w:r>
        <w:rPr>
          <w:rFonts w:ascii="Bookman Old Style" w:hAnsi="Bookman Old Style"/>
          <w:b/>
          <w:bCs/>
          <w:sz w:val="24"/>
          <w:szCs w:val="24"/>
        </w:rPr>
        <w:tab/>
        <w:t>К.А. Беспалый</w:t>
      </w:r>
    </w:p>
    <w:p w:rsidR="00785C73" w:rsidRDefault="00785C73"/>
    <w:sectPr w:rsidR="00785C73" w:rsidSect="00045BB9">
      <w:footerReference w:type="even" r:id="rId7"/>
      <w:footerReference w:type="default" r:id="rId8"/>
      <w:pgSz w:w="11906" w:h="16838" w:code="1"/>
      <w:pgMar w:top="425" w:right="1134" w:bottom="284" w:left="1134" w:header="958" w:footer="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F7A" w:rsidRDefault="00CE7F7A">
      <w:r>
        <w:separator/>
      </w:r>
    </w:p>
  </w:endnote>
  <w:endnote w:type="continuationSeparator" w:id="0">
    <w:p w:rsidR="00CE7F7A" w:rsidRDefault="00CE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222" w:rsidRDefault="008F67A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85222" w:rsidRDefault="00CE7F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222" w:rsidRDefault="008F67A4">
    <w:pPr>
      <w:pStyle w:val="a5"/>
    </w:pPr>
    <w:r>
      <w:sym w:font="Wingdings" w:char="F06C"/>
    </w:r>
    <w:r>
      <w:t xml:space="preserve"> Стр.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F7E07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F7A" w:rsidRDefault="00CE7F7A">
      <w:r>
        <w:separator/>
      </w:r>
    </w:p>
  </w:footnote>
  <w:footnote w:type="continuationSeparator" w:id="0">
    <w:p w:rsidR="00CE7F7A" w:rsidRDefault="00CE7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1038"/>
    <w:multiLevelType w:val="hybridMultilevel"/>
    <w:tmpl w:val="BAF0F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B584F"/>
    <w:multiLevelType w:val="hybridMultilevel"/>
    <w:tmpl w:val="EB62BFBC"/>
    <w:lvl w:ilvl="0" w:tplc="1230FB3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46108"/>
    <w:multiLevelType w:val="hybridMultilevel"/>
    <w:tmpl w:val="E1867E98"/>
    <w:lvl w:ilvl="0" w:tplc="75CC763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10"/>
    <w:rsid w:val="001C4C10"/>
    <w:rsid w:val="003F7E07"/>
    <w:rsid w:val="00785C73"/>
    <w:rsid w:val="008F67A4"/>
    <w:rsid w:val="00CE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DE1A3-5A0D-4B66-81B9-EC8E9197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C4C10"/>
    <w:pPr>
      <w:spacing w:after="220" w:line="180" w:lineRule="atLeast"/>
      <w:jc w:val="both"/>
    </w:pPr>
    <w:rPr>
      <w:rFonts w:ascii="Arial" w:hAnsi="Arial"/>
      <w:spacing w:val="-5"/>
    </w:rPr>
  </w:style>
  <w:style w:type="character" w:customStyle="1" w:styleId="a4">
    <w:name w:val="Основной текст Знак"/>
    <w:basedOn w:val="a0"/>
    <w:link w:val="a3"/>
    <w:semiHidden/>
    <w:rsid w:val="001C4C10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1C4C10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character" w:customStyle="1" w:styleId="a6">
    <w:name w:val="Нижний колонтитул Знак"/>
    <w:basedOn w:val="a0"/>
    <w:link w:val="a5"/>
    <w:semiHidden/>
    <w:rsid w:val="001C4C10"/>
    <w:rPr>
      <w:rFonts w:ascii="Arial" w:eastAsia="Times New Roman" w:hAnsi="Arial" w:cs="Times New Roman"/>
      <w:spacing w:val="-5"/>
      <w:sz w:val="18"/>
      <w:szCs w:val="20"/>
      <w:lang w:eastAsia="ru-RU"/>
    </w:rPr>
  </w:style>
  <w:style w:type="character" w:styleId="a7">
    <w:name w:val="page number"/>
    <w:semiHidden/>
    <w:rsid w:val="001C4C10"/>
    <w:rPr>
      <w:sz w:val="18"/>
    </w:rPr>
  </w:style>
  <w:style w:type="table" w:styleId="a8">
    <w:name w:val="Table Grid"/>
    <w:basedOn w:val="a1"/>
    <w:uiPriority w:val="59"/>
    <w:rsid w:val="001C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1C4C10"/>
    <w:pPr>
      <w:ind w:left="720"/>
      <w:contextualSpacing/>
    </w:pPr>
    <w:rPr>
      <w:rFonts w:eastAsia="Calibri"/>
      <w:sz w:val="24"/>
      <w:szCs w:val="22"/>
      <w:lang w:eastAsia="en-US"/>
    </w:rPr>
  </w:style>
  <w:style w:type="paragraph" w:styleId="aa">
    <w:name w:val="Normal Indent"/>
    <w:basedOn w:val="a"/>
    <w:unhideWhenUsed/>
    <w:rsid w:val="001C4C10"/>
    <w:pPr>
      <w:ind w:left="851"/>
    </w:pPr>
    <w:rPr>
      <w:rFonts w:eastAsia="MS Minch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3</cp:revision>
  <dcterms:created xsi:type="dcterms:W3CDTF">2020-10-26T08:00:00Z</dcterms:created>
  <dcterms:modified xsi:type="dcterms:W3CDTF">2020-10-26T13:54:00Z</dcterms:modified>
</cp:coreProperties>
</file>